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Pr>
        <w:tabs>
          <w:tab w:val="left" w:pos="2865"/>
        </w:tabs>
        <w:jc w:val="center"/>
        <w:rPr>
          <w:rFonts w:ascii="宋体"/>
          <w:b/>
          <w:sz w:val="52"/>
          <w:szCs w:val="52"/>
        </w:rPr>
      </w:pPr>
      <w:r>
        <w:rPr>
          <w:rFonts w:hint="eastAsia" w:ascii="宋体" w:hAnsi="宋体"/>
          <w:b/>
          <w:sz w:val="72"/>
          <w:szCs w:val="72"/>
        </w:rPr>
        <w:t>梨树县</w:t>
      </w:r>
      <w:r>
        <w:rPr>
          <w:rFonts w:hint="eastAsia" w:ascii="宋体" w:hAnsi="宋体"/>
          <w:b/>
          <w:sz w:val="72"/>
          <w:szCs w:val="72"/>
          <w:lang w:eastAsia="zh-CN"/>
        </w:rPr>
        <w:t>城市管理行政执法局孤家子分局</w:t>
      </w:r>
      <w:r>
        <w:rPr>
          <w:rFonts w:hint="eastAsia" w:ascii="宋体" w:hAnsi="宋体"/>
          <w:b/>
          <w:sz w:val="72"/>
          <w:szCs w:val="72"/>
          <w:lang w:val="en-US" w:eastAsia="zh-CN"/>
        </w:rPr>
        <w:t xml:space="preserve">                     </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hint="eastAsia" w:ascii="宋体" w:hAnsi="宋体"/>
          <w:b/>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Pr>
        <w:tabs>
          <w:tab w:val="left" w:pos="2595"/>
        </w:tabs>
        <w:jc w:val="both"/>
        <w:rPr>
          <w:rFonts w:hint="eastAsia" w:ascii="宋体" w:hAnsi="宋体"/>
          <w:b/>
          <w:sz w:val="32"/>
          <w:szCs w:val="32"/>
        </w:rPr>
      </w:pPr>
    </w:p>
    <w:p>
      <w:pPr>
        <w:tabs>
          <w:tab w:val="left" w:pos="2595"/>
        </w:tabs>
        <w:jc w:val="center"/>
        <w:rPr>
          <w:rFonts w:hint="eastAsia" w:ascii="宋体" w:hAnsi="宋体"/>
          <w:b/>
          <w:sz w:val="32"/>
          <w:szCs w:val="32"/>
        </w:rPr>
      </w:pPr>
    </w:p>
    <w:p>
      <w:pPr>
        <w:tabs>
          <w:tab w:val="left" w:pos="2595"/>
        </w:tabs>
        <w:jc w:val="center"/>
        <w:rPr>
          <w:rFonts w:hint="eastAsia" w:ascii="宋体" w:hAnsi="宋体"/>
          <w:b/>
          <w:sz w:val="32"/>
          <w:szCs w:val="32"/>
        </w:rPr>
      </w:pPr>
    </w:p>
    <w:p>
      <w:pPr>
        <w:tabs>
          <w:tab w:val="left" w:pos="2595"/>
        </w:tabs>
        <w:jc w:val="center"/>
        <w:rPr>
          <w:b/>
          <w:bCs/>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ascii="宋体" w:hAnsi="宋体" w:cs="宋体"/>
          <w:sz w:val="32"/>
          <w:szCs w:val="32"/>
        </w:rPr>
      </w:pPr>
      <w:r>
        <w:rPr>
          <w:rFonts w:ascii="仿宋_GB2312" w:hAnsi="仿宋_GB2312" w:eastAsia="仿宋_GB2312"/>
          <w:sz w:val="32"/>
          <w:szCs w:val="32"/>
        </w:rPr>
        <w:t>1.</w:t>
      </w:r>
      <w:r>
        <w:rPr>
          <w:rFonts w:hint="eastAsia" w:ascii="宋体" w:hAnsi="宋体" w:cs="宋体"/>
          <w:sz w:val="32"/>
          <w:szCs w:val="32"/>
        </w:rPr>
        <w:t>负责市容环境卫生管理方面法律、法规、规章规定的监督监察和行政处罚工作。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2.负责城市规划管理方面法律、法规、规章规定的部分监督检查和行政处罚工作。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3.负责城市绿化方面法律、法规、规章规定的监督检查和行政处罚工作。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4、负责市政管理方面法律、法规、规章规定的监督检查和行政处罚工作。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5、负责环境保护管理方面法律、法规、规章规定的部门监督检查和行政处罚工作。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6.负责工商行政管理和卫生管理方面法律、法规、规章规定的部门监督检查和行政处罚工作。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7.负责交通秩序，运输管理方面法律、法规、规章规定的部分监督检查和行政处罚工作。</w:t>
      </w:r>
    </w:p>
    <w:p>
      <w:pPr>
        <w:snapToGrid w:val="0"/>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8.负责市容和环境卫生方面法律、法规、规章规定的部分行政审批工作。</w:t>
      </w:r>
    </w:p>
    <w:p>
      <w:pPr>
        <w:snapToGrid w:val="0"/>
        <w:spacing w:line="520" w:lineRule="exact"/>
        <w:ind w:firstLine="640" w:firstLineChars="200"/>
        <w:rPr>
          <w:rFonts w:hint="eastAsia" w:ascii="仿宋_GB2312" w:hAnsi="仿宋_GB2312" w:eastAsia="仿宋_GB2312"/>
          <w:b/>
          <w:bCs/>
          <w:sz w:val="32"/>
          <w:szCs w:val="32"/>
        </w:rPr>
      </w:pPr>
      <w:r>
        <w:rPr>
          <w:rFonts w:hint="eastAsia" w:ascii="宋体" w:hAnsi="宋体" w:eastAsia="宋体" w:cs="宋体"/>
          <w:sz w:val="32"/>
          <w:szCs w:val="32"/>
        </w:rPr>
        <w:t>9.履行法律、法规、规章规定或者省、市、县人民政府决定调整的城市管理领域的其他行政处罚权。</w:t>
      </w:r>
    </w:p>
    <w:p>
      <w:pPr>
        <w:snapToGrid w:val="0"/>
        <w:spacing w:line="520" w:lineRule="exact"/>
        <w:ind w:firstLine="643" w:firstLineChars="200"/>
        <w:rPr>
          <w:rFonts w:hint="eastAsia" w:ascii="仿宋_GB2312" w:hAnsi="仿宋_GB2312" w:eastAsia="仿宋_GB2312"/>
          <w:b/>
          <w:bCs/>
          <w:sz w:val="32"/>
          <w:szCs w:val="32"/>
        </w:rPr>
      </w:pPr>
      <w:r>
        <w:rPr>
          <w:rFonts w:hint="eastAsia" w:ascii="仿宋_GB2312" w:hAnsi="仿宋_GB2312" w:eastAsia="仿宋_GB2312"/>
          <w:b/>
          <w:bCs/>
          <w:sz w:val="32"/>
          <w:szCs w:val="32"/>
        </w:rPr>
        <w:t>二、机构设置</w:t>
      </w:r>
    </w:p>
    <w:p>
      <w:pPr>
        <w:tabs>
          <w:tab w:val="left" w:pos="690"/>
        </w:tabs>
        <w:ind w:firstLine="640" w:firstLineChars="200"/>
        <w:rPr>
          <w:rFonts w:hint="eastAsia" w:ascii="宋体" w:eastAsia="宋体"/>
          <w:sz w:val="32"/>
          <w:szCs w:val="32"/>
          <w:lang w:eastAsia="zh-CN"/>
        </w:rPr>
      </w:pPr>
      <w:r>
        <w:rPr>
          <w:rFonts w:hint="eastAsia"/>
          <w:sz w:val="32"/>
          <w:szCs w:val="32"/>
        </w:rPr>
        <w:t>根据上述职责，梨树县</w:t>
      </w:r>
      <w:r>
        <w:rPr>
          <w:rFonts w:hint="eastAsia" w:ascii="宋体" w:hAnsi="宋体"/>
          <w:sz w:val="32"/>
          <w:szCs w:val="32"/>
        </w:rPr>
        <w:t>行政执法</w:t>
      </w:r>
      <w:r>
        <w:rPr>
          <w:rFonts w:hint="eastAsia"/>
          <w:sz w:val="32"/>
          <w:szCs w:val="32"/>
        </w:rPr>
        <w:t>局内</w:t>
      </w:r>
      <w:r>
        <w:rPr>
          <w:sz w:val="32"/>
          <w:szCs w:val="32"/>
        </w:rPr>
        <w:t xml:space="preserve"> </w:t>
      </w:r>
      <w:r>
        <w:rPr>
          <w:rFonts w:hint="eastAsia"/>
          <w:sz w:val="32"/>
          <w:szCs w:val="32"/>
          <w:lang w:val="en-US" w:eastAsia="zh-CN"/>
        </w:rPr>
        <w:t>4</w:t>
      </w:r>
      <w:r>
        <w:rPr>
          <w:rFonts w:hint="eastAsia"/>
          <w:sz w:val="32"/>
          <w:szCs w:val="32"/>
        </w:rPr>
        <w:t>个机构，分别为：综合科，法制科，审批科，管理科</w:t>
      </w:r>
      <w:r>
        <w:rPr>
          <w:rFonts w:hint="eastAsia"/>
          <w:sz w:val="32"/>
          <w:szCs w:val="32"/>
          <w:lang w:eastAsia="zh-CN"/>
        </w:rPr>
        <w:t>。</w:t>
      </w:r>
    </w:p>
    <w:p>
      <w:pPr>
        <w:tabs>
          <w:tab w:val="left" w:pos="690"/>
        </w:tabs>
        <w:ind w:firstLine="643" w:firstLineChars="200"/>
        <w:jc w:val="both"/>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ind w:firstLine="643" w:firstLineChars="200"/>
        <w:jc w:val="both"/>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；支出包括：城乡社区支出</w:t>
      </w: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115</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有所</w:t>
      </w:r>
      <w:r>
        <w:rPr>
          <w:rFonts w:hint="eastAsia" w:ascii="宋体"/>
          <w:sz w:val="32"/>
          <w:szCs w:val="32"/>
        </w:rPr>
        <w:t>增加，主要原因是</w:t>
      </w:r>
      <w:r>
        <w:rPr>
          <w:rFonts w:hint="eastAsia" w:ascii="宋体"/>
          <w:sz w:val="32"/>
          <w:szCs w:val="32"/>
          <w:lang w:val="en-US" w:eastAsia="zh-CN"/>
        </w:rPr>
        <w:t>人员经费增加</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115</w:t>
      </w:r>
      <w:r>
        <w:rPr>
          <w:rFonts w:hint="eastAsia" w:ascii="宋体"/>
          <w:sz w:val="32"/>
          <w:szCs w:val="32"/>
        </w:rPr>
        <w:t>万元，其中：本年收入</w:t>
      </w:r>
      <w:r>
        <w:rPr>
          <w:rFonts w:hint="eastAsia" w:ascii="宋体"/>
          <w:sz w:val="32"/>
          <w:szCs w:val="32"/>
          <w:lang w:val="en-US" w:eastAsia="zh-CN"/>
        </w:rPr>
        <w:t>115</w:t>
      </w:r>
      <w:r>
        <w:rPr>
          <w:rFonts w:hint="eastAsia" w:ascii="宋体"/>
          <w:sz w:val="32"/>
          <w:szCs w:val="32"/>
        </w:rPr>
        <w:t>万元，</w:t>
      </w:r>
      <w:r>
        <w:rPr>
          <w:rFonts w:hint="eastAsia" w:ascii="宋体"/>
          <w:sz w:val="32"/>
          <w:szCs w:val="32"/>
          <w:lang w:val="en-US" w:eastAsia="zh-CN"/>
        </w:rPr>
        <w:t>占100</w:t>
      </w:r>
      <w:r>
        <w:rPr>
          <w:rFonts w:hint="eastAsia" w:ascii="宋体"/>
          <w:sz w:val="32"/>
          <w:szCs w:val="32"/>
        </w:rPr>
        <w:t>%。本年收入中，一般公共预算拨款收入</w:t>
      </w:r>
      <w:r>
        <w:rPr>
          <w:rFonts w:hint="eastAsia" w:ascii="宋体"/>
          <w:sz w:val="32"/>
          <w:szCs w:val="32"/>
          <w:lang w:val="en-US" w:eastAsia="zh-CN"/>
        </w:rPr>
        <w:t>115</w:t>
      </w:r>
      <w:r>
        <w:rPr>
          <w:rFonts w:hint="eastAsia" w:ascii="宋体"/>
          <w:sz w:val="32"/>
          <w:szCs w:val="32"/>
        </w:rPr>
        <w:t>万元，</w:t>
      </w:r>
      <w:r>
        <w:rPr>
          <w:rFonts w:hint="eastAsia" w:ascii="宋体"/>
          <w:sz w:val="32"/>
          <w:szCs w:val="32"/>
          <w:lang w:val="en-US" w:eastAsia="zh-CN"/>
        </w:rPr>
        <w:t>占100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115</w:t>
      </w:r>
      <w:r>
        <w:rPr>
          <w:rFonts w:hint="eastAsia" w:ascii="宋体"/>
          <w:sz w:val="32"/>
          <w:szCs w:val="32"/>
        </w:rPr>
        <w:t>万元，其中：基本支出</w:t>
      </w:r>
      <w:r>
        <w:rPr>
          <w:rFonts w:hint="eastAsia" w:ascii="宋体"/>
          <w:sz w:val="32"/>
          <w:szCs w:val="32"/>
          <w:lang w:val="en-US" w:eastAsia="zh-CN"/>
        </w:rPr>
        <w:t>115</w:t>
      </w:r>
      <w:r>
        <w:rPr>
          <w:rFonts w:hint="eastAsia" w:ascii="宋体"/>
          <w:sz w:val="32"/>
          <w:szCs w:val="32"/>
        </w:rPr>
        <w:t>万元，</w:t>
      </w:r>
      <w:r>
        <w:rPr>
          <w:rFonts w:hint="eastAsia" w:ascii="宋体"/>
          <w:sz w:val="32"/>
          <w:szCs w:val="32"/>
          <w:lang w:val="en-US" w:eastAsia="zh-CN"/>
        </w:rPr>
        <w:t>占100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 xml:space="preserve"> 103</w:t>
      </w:r>
      <w:r>
        <w:rPr>
          <w:rFonts w:hint="eastAsia" w:ascii="宋体"/>
          <w:sz w:val="32"/>
          <w:szCs w:val="32"/>
        </w:rPr>
        <w:t>万元，占</w:t>
      </w:r>
      <w:r>
        <w:rPr>
          <w:rFonts w:hint="eastAsia" w:ascii="宋体"/>
          <w:sz w:val="32"/>
          <w:szCs w:val="32"/>
          <w:lang w:val="en-US" w:eastAsia="zh-CN"/>
        </w:rPr>
        <w:t xml:space="preserve"> 90</w:t>
      </w:r>
      <w:r>
        <w:rPr>
          <w:rFonts w:hint="eastAsia" w:ascii="宋体"/>
          <w:sz w:val="32"/>
          <w:szCs w:val="32"/>
        </w:rPr>
        <w:t>%；公用经费</w:t>
      </w:r>
      <w:r>
        <w:rPr>
          <w:rFonts w:hint="eastAsia" w:ascii="宋体"/>
          <w:sz w:val="32"/>
          <w:szCs w:val="32"/>
          <w:lang w:val="en-US" w:eastAsia="zh-CN"/>
        </w:rPr>
        <w:t>12</w:t>
      </w:r>
      <w:r>
        <w:rPr>
          <w:rFonts w:hint="eastAsia" w:ascii="宋体"/>
          <w:sz w:val="32"/>
          <w:szCs w:val="32"/>
        </w:rPr>
        <w:t>万元，占</w:t>
      </w:r>
      <w:r>
        <w:rPr>
          <w:rFonts w:hint="eastAsia" w:ascii="宋体"/>
          <w:sz w:val="32"/>
          <w:szCs w:val="32"/>
          <w:lang w:val="en-US" w:eastAsia="zh-CN"/>
        </w:rPr>
        <w:t>10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115</w:t>
      </w:r>
      <w:r>
        <w:rPr>
          <w:rFonts w:hint="eastAsia" w:ascii="宋体"/>
          <w:sz w:val="32"/>
          <w:szCs w:val="32"/>
        </w:rPr>
        <w:t>万元，其中：一般公共预算拨款</w:t>
      </w:r>
      <w:r>
        <w:rPr>
          <w:rFonts w:hint="eastAsia" w:ascii="宋体"/>
          <w:sz w:val="32"/>
          <w:szCs w:val="32"/>
          <w:lang w:val="en-US" w:eastAsia="zh-CN"/>
        </w:rPr>
        <w:t>115</w:t>
      </w:r>
      <w:r>
        <w:rPr>
          <w:rFonts w:hint="eastAsia" w:ascii="宋体"/>
          <w:sz w:val="32"/>
          <w:szCs w:val="32"/>
        </w:rPr>
        <w:t>万元。支出包括：</w:t>
      </w:r>
      <w:r>
        <w:rPr>
          <w:rFonts w:hint="eastAsia" w:ascii="宋体"/>
          <w:sz w:val="32"/>
          <w:szCs w:val="32"/>
          <w:lang w:val="en-US" w:eastAsia="zh-CN"/>
        </w:rPr>
        <w:t>城乡社区事务115万元。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115</w:t>
      </w:r>
      <w:r>
        <w:rPr>
          <w:rFonts w:hint="eastAsia" w:ascii="宋体"/>
          <w:sz w:val="32"/>
          <w:szCs w:val="32"/>
        </w:rPr>
        <w:t>万元，其中：基本支出</w:t>
      </w:r>
      <w:r>
        <w:rPr>
          <w:rFonts w:hint="eastAsia" w:ascii="宋体"/>
          <w:sz w:val="32"/>
          <w:szCs w:val="32"/>
          <w:lang w:val="en-US" w:eastAsia="zh-CN"/>
        </w:rPr>
        <w:t xml:space="preserve"> 115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w:t>
      </w:r>
      <w:r>
        <w:rPr>
          <w:rFonts w:hint="eastAsia" w:ascii="宋体"/>
          <w:sz w:val="32"/>
          <w:szCs w:val="32"/>
          <w:lang w:eastAsia="zh-CN"/>
        </w:rPr>
        <w:t>，</w:t>
      </w:r>
      <w:r>
        <w:rPr>
          <w:rFonts w:hint="eastAsia" w:ascii="宋体"/>
          <w:sz w:val="32"/>
          <w:szCs w:val="32"/>
        </w:rPr>
        <w:t>人员经费</w:t>
      </w:r>
      <w:r>
        <w:rPr>
          <w:rFonts w:hint="eastAsia" w:ascii="宋体"/>
          <w:sz w:val="32"/>
          <w:szCs w:val="32"/>
          <w:lang w:val="en-US" w:eastAsia="zh-CN"/>
        </w:rPr>
        <w:t>103</w:t>
      </w:r>
      <w:r>
        <w:rPr>
          <w:rFonts w:hint="eastAsia" w:ascii="宋体"/>
          <w:sz w:val="32"/>
          <w:szCs w:val="32"/>
        </w:rPr>
        <w:t>万元，占</w:t>
      </w:r>
      <w:r>
        <w:rPr>
          <w:rFonts w:hint="eastAsia" w:ascii="宋体"/>
          <w:sz w:val="32"/>
          <w:szCs w:val="32"/>
          <w:lang w:val="en-US" w:eastAsia="zh-CN"/>
        </w:rPr>
        <w:t>90</w:t>
      </w:r>
      <w:r>
        <w:rPr>
          <w:rFonts w:hint="eastAsia" w:ascii="宋体"/>
          <w:sz w:val="32"/>
          <w:szCs w:val="32"/>
        </w:rPr>
        <w:t>%；公用经费</w:t>
      </w:r>
      <w:r>
        <w:rPr>
          <w:rFonts w:hint="eastAsia" w:ascii="宋体"/>
          <w:sz w:val="32"/>
          <w:szCs w:val="32"/>
          <w:lang w:val="en-US" w:eastAsia="zh-CN"/>
        </w:rPr>
        <w:t>12</w:t>
      </w:r>
      <w:r>
        <w:rPr>
          <w:rFonts w:hint="eastAsia" w:ascii="宋体"/>
          <w:sz w:val="32"/>
          <w:szCs w:val="32"/>
        </w:rPr>
        <w:t>万元，</w:t>
      </w:r>
      <w:r>
        <w:rPr>
          <w:rFonts w:hint="eastAsia" w:ascii="宋体"/>
          <w:sz w:val="32"/>
          <w:szCs w:val="32"/>
          <w:lang w:val="en-US" w:eastAsia="zh-CN"/>
        </w:rPr>
        <w:t>占10%。</w:t>
      </w:r>
    </w:p>
    <w:p>
      <w:pPr>
        <w:numPr>
          <w:ilvl w:val="0"/>
          <w:numId w:val="4"/>
        </w:numPr>
        <w:tabs>
          <w:tab w:val="left" w:pos="1200"/>
          <w:tab w:val="right" w:pos="8306"/>
        </w:tabs>
        <w:ind w:firstLine="640" w:firstLineChars="200"/>
        <w:jc w:val="left"/>
        <w:rPr>
          <w:rFonts w:hint="default" w:ascii="宋体"/>
          <w:sz w:val="32"/>
          <w:szCs w:val="32"/>
          <w:lang w:val="en-US" w:eastAsia="zh-CN"/>
        </w:rPr>
      </w:pPr>
      <w:r>
        <w:rPr>
          <w:rFonts w:hint="eastAsia" w:ascii="宋体"/>
          <w:sz w:val="32"/>
          <w:szCs w:val="32"/>
          <w:lang w:val="en-US" w:eastAsia="zh-CN"/>
        </w:rPr>
        <w:t>城乡社区事务115万元，占100 %，主要用于人员经费和公用经费。</w:t>
      </w:r>
    </w:p>
    <w:p>
      <w:pPr>
        <w:tabs>
          <w:tab w:val="left" w:pos="1200"/>
          <w:tab w:val="right" w:pos="8306"/>
        </w:tabs>
        <w:ind w:firstLine="640" w:firstLineChars="2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115</w:t>
      </w:r>
      <w:r>
        <w:rPr>
          <w:rFonts w:hint="eastAsia" w:ascii="宋体"/>
          <w:sz w:val="32"/>
          <w:szCs w:val="32"/>
        </w:rPr>
        <w:t>万元，其中：人员经费</w:t>
      </w:r>
      <w:r>
        <w:rPr>
          <w:rFonts w:hint="eastAsia" w:ascii="宋体"/>
          <w:sz w:val="32"/>
          <w:szCs w:val="32"/>
          <w:lang w:val="en-US" w:eastAsia="zh-CN"/>
        </w:rPr>
        <w:t>103</w:t>
      </w:r>
      <w:r>
        <w:rPr>
          <w:rFonts w:hint="eastAsia" w:ascii="宋体"/>
          <w:sz w:val="32"/>
          <w:szCs w:val="32"/>
        </w:rPr>
        <w:t>万元，主要包括：</w:t>
      </w:r>
      <w:r>
        <w:rPr>
          <w:rFonts w:hint="eastAsia" w:ascii="宋体"/>
          <w:sz w:val="32"/>
          <w:szCs w:val="32"/>
          <w:lang w:eastAsia="zh-CN"/>
        </w:rPr>
        <w:t>其他工资福利支出</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12</w:t>
      </w:r>
      <w:r>
        <w:rPr>
          <w:rFonts w:hint="eastAsia" w:ascii="宋体"/>
          <w:sz w:val="32"/>
          <w:szCs w:val="32"/>
        </w:rPr>
        <w:t>万元，主要包括：</w:t>
      </w:r>
      <w:r>
        <w:rPr>
          <w:rFonts w:hint="eastAsia" w:ascii="宋体"/>
          <w:sz w:val="32"/>
          <w:szCs w:val="32"/>
          <w:lang w:val="en-US" w:eastAsia="zh-CN"/>
        </w:rPr>
        <w:t>办公费，其他交通费用</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rPr>
        <w:t>2021年“三公”经费预算数为0万元，与2020年预算数持平。其中：</w:t>
      </w:r>
    </w:p>
    <w:p>
      <w:pPr>
        <w:tabs>
          <w:tab w:val="left" w:pos="1200"/>
          <w:tab w:val="right" w:pos="8306"/>
        </w:tabs>
        <w:ind w:firstLine="630"/>
        <w:jc w:val="left"/>
        <w:rPr>
          <w:rFonts w:ascii="宋体"/>
          <w:sz w:val="32"/>
          <w:szCs w:val="32"/>
        </w:rPr>
      </w:pPr>
      <w:r>
        <w:rPr>
          <w:rFonts w:hint="eastAsia" w:ascii="宋体"/>
          <w:sz w:val="32"/>
          <w:szCs w:val="32"/>
        </w:rPr>
        <w:t>1、因公出国（境）费0万元，与2020年预算数持平。</w:t>
      </w:r>
    </w:p>
    <w:p>
      <w:pPr>
        <w:tabs>
          <w:tab w:val="left" w:pos="1200"/>
          <w:tab w:val="right" w:pos="8306"/>
        </w:tabs>
        <w:ind w:firstLine="630"/>
        <w:jc w:val="left"/>
        <w:rPr>
          <w:rFonts w:ascii="宋体"/>
          <w:sz w:val="32"/>
          <w:szCs w:val="32"/>
        </w:rPr>
      </w:pPr>
      <w:r>
        <w:rPr>
          <w:rFonts w:hint="eastAsia" w:ascii="宋体"/>
          <w:sz w:val="32"/>
          <w:szCs w:val="32"/>
        </w:rPr>
        <w:t>2、公务接待费0万元，与2020年预算数持平。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年预算数持平；公务用车购置</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eastAsia="宋体"/>
          <w:sz w:val="32"/>
          <w:szCs w:val="32"/>
          <w:lang w:val="en-US" w:eastAsia="zh-CN"/>
        </w:rPr>
      </w:pPr>
      <w:r>
        <w:rPr>
          <w:rFonts w:hint="eastAsia" w:ascii="宋体"/>
          <w:sz w:val="32"/>
          <w:szCs w:val="32"/>
        </w:rPr>
        <w:t>本部门无政府性基金预算拨</w:t>
      </w:r>
      <w:r>
        <w:rPr>
          <w:rFonts w:hint="eastAsia" w:ascii="宋体"/>
          <w:sz w:val="32"/>
          <w:szCs w:val="32"/>
          <w:lang w:val="en-US" w:eastAsia="zh-CN"/>
        </w:rPr>
        <w:t>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hint="eastAsia"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家行政单位，机关运行经费财政拨款预算</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val="en-US" w:eastAsia="zh-CN"/>
        </w:rPr>
        <w:t>增加0</w:t>
      </w:r>
      <w:r>
        <w:rPr>
          <w:rFonts w:hint="eastAsia" w:ascii="宋体"/>
          <w:sz w:val="32"/>
          <w:szCs w:val="32"/>
        </w:rPr>
        <w:t>万元，</w:t>
      </w:r>
      <w:r>
        <w:rPr>
          <w:rFonts w:hint="eastAsia" w:ascii="宋体"/>
          <w:sz w:val="32"/>
          <w:szCs w:val="32"/>
          <w:lang w:val="en-US" w:eastAsia="zh-CN"/>
        </w:rPr>
        <w:t>增加0</w:t>
      </w:r>
      <w:r>
        <w:rPr>
          <w:rFonts w:hint="eastAsia" w:ascii="宋体"/>
          <w:sz w:val="32"/>
          <w:szCs w:val="32"/>
        </w:rPr>
        <w:t>%。</w:t>
      </w:r>
      <w:r>
        <w:rPr>
          <w:rFonts w:hint="eastAsia" w:ascii="宋体"/>
          <w:sz w:val="32"/>
          <w:szCs w:val="32"/>
          <w:lang w:eastAsia="zh-CN"/>
        </w:rPr>
        <w:t>主要我单位是事业单位</w:t>
      </w:r>
      <w:r>
        <w:rPr>
          <w:rFonts w:hint="eastAsia" w:ascii="宋体"/>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ascii="宋体"/>
          <w:sz w:val="32"/>
          <w:szCs w:val="32"/>
        </w:rPr>
      </w:pPr>
      <w:r>
        <w:rPr>
          <w:rFonts w:hint="eastAsia" w:ascii="宋体"/>
          <w:sz w:val="32"/>
          <w:szCs w:val="32"/>
        </w:rPr>
        <w:t>2021年政府采购预算总额0万元，其中：政府采购货物预算0万元，政府采购工作预算0万元，政府采购服务预算   万元。</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3辆，其中，领导干部用车0辆、一般公务用车0 辆、一般执法执勤用车3辆、特种专业技术用车0辆、其他用车0辆。单位价值50万元以上通用设备0台（套），单位价值100万元以上专用设备0台（套）。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按照全面实施预算绩效管理的要求，结合本部门职能和重点工作，2021年</w:t>
      </w:r>
      <w:r>
        <w:rPr>
          <w:rFonts w:hint="eastAsia" w:ascii="宋体"/>
          <w:sz w:val="32"/>
          <w:szCs w:val="32"/>
          <w:lang w:val="en-US" w:eastAsia="zh-CN"/>
        </w:rPr>
        <w:t>本部门</w:t>
      </w:r>
      <w:r>
        <w:rPr>
          <w:rFonts w:hint="eastAsia" w:ascii="宋体"/>
          <w:sz w:val="32"/>
          <w:szCs w:val="32"/>
        </w:rPr>
        <w:t>无重点</w:t>
      </w:r>
      <w:r>
        <w:rPr>
          <w:rFonts w:hint="eastAsia" w:ascii="宋体"/>
          <w:sz w:val="32"/>
          <w:szCs w:val="32"/>
          <w:lang w:val="en-US" w:eastAsia="zh-CN"/>
        </w:rPr>
        <w:t>项目</w:t>
      </w:r>
      <w:r>
        <w:rPr>
          <w:rFonts w:hint="eastAsia" w:ascii="宋体"/>
          <w:sz w:val="32"/>
          <w:szCs w:val="32"/>
        </w:rPr>
        <w:t>绩效目标和指标。</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3B62891D"/>
    <w:multiLevelType w:val="singleLevel"/>
    <w:tmpl w:val="3B62891D"/>
    <w:lvl w:ilvl="0" w:tentative="0">
      <w:start w:val="1"/>
      <w:numFmt w:val="decimal"/>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Y4N2NmN2MyNDE4MjBhMDkxMDgyNDE4ZDIyODk2OGYifQ=="/>
  </w:docVars>
  <w:rsids>
    <w:rsidRoot w:val="00000000"/>
    <w:rsid w:val="03BD51B0"/>
    <w:rsid w:val="0AAD7107"/>
    <w:rsid w:val="0D9C0994"/>
    <w:rsid w:val="0DAB5287"/>
    <w:rsid w:val="1E4A7A46"/>
    <w:rsid w:val="1EBA1BE2"/>
    <w:rsid w:val="39AF3D67"/>
    <w:rsid w:val="3B5820A6"/>
    <w:rsid w:val="3E0F7597"/>
    <w:rsid w:val="44974042"/>
    <w:rsid w:val="44CD480D"/>
    <w:rsid w:val="4A0C67F7"/>
    <w:rsid w:val="51BD73FD"/>
    <w:rsid w:val="5E2F275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2689</Words>
  <Characters>2852</Characters>
  <Lines>25</Lines>
  <Paragraphs>7</Paragraphs>
  <TotalTime>6</TotalTime>
  <ScaleCrop>false</ScaleCrop>
  <LinksUpToDate>false</LinksUpToDate>
  <CharactersWithSpaces>3240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2022-09-06T06:23:55Z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1A1ABAFF07774BD0A7A22798E4443CE3</vt:lpwstr>
  </property>
</Properties>
</file>